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>April 8, 2024</w:t>
      </w: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>Regular Meeting</w:t>
      </w: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>6:00p.m.</w:t>
      </w: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>The Board of Education met in regular session, April 8, 2024 in the Superintendent’s office board room with the following members present. Heidi Gamble, David Klein,</w:t>
      </w:r>
      <w:r w:rsidR="008924DC">
        <w:rPr>
          <w:sz w:val="24"/>
          <w:szCs w:val="24"/>
        </w:rPr>
        <w:t xml:space="preserve"> John Williams, Tabitha Sherrill,</w:t>
      </w:r>
      <w:r w:rsidRPr="00191E86">
        <w:rPr>
          <w:sz w:val="24"/>
          <w:szCs w:val="24"/>
        </w:rPr>
        <w:t xml:space="preserve"> Rodney Townley. Others in attendance were Superintendent Shelly Hildebrand-Beach, principal John Edwards, </w:t>
      </w:r>
      <w:r w:rsidR="008924DC">
        <w:rPr>
          <w:sz w:val="24"/>
          <w:szCs w:val="24"/>
        </w:rPr>
        <w:t>Krysti Kesler, Pam Dotson</w:t>
      </w:r>
      <w:r w:rsidRPr="00191E86">
        <w:rPr>
          <w:sz w:val="24"/>
          <w:szCs w:val="24"/>
        </w:rPr>
        <w:t xml:space="preserve"> and minute clerk Debbie House.</w:t>
      </w:r>
      <w:r w:rsidR="008924DC">
        <w:rPr>
          <w:sz w:val="24"/>
          <w:szCs w:val="24"/>
        </w:rPr>
        <w:t xml:space="preserve"> Meeting was called to order at 6:01p.m.</w:t>
      </w:r>
    </w:p>
    <w:p w:rsidR="00B877D7" w:rsidRPr="00191E86" w:rsidRDefault="00EE184C" w:rsidP="00B877D7">
      <w:pPr>
        <w:rPr>
          <w:sz w:val="24"/>
          <w:szCs w:val="24"/>
        </w:rPr>
      </w:pPr>
      <w:r w:rsidRPr="00191E86">
        <w:rPr>
          <w:sz w:val="24"/>
          <w:szCs w:val="24"/>
        </w:rPr>
        <w:t>Wherein all members, have been notified of said meeting and those present a quorum and is thus declared, Rodney Townley is the presiding officer.</w:t>
      </w:r>
    </w:p>
    <w:p w:rsidR="00B877D7" w:rsidRPr="008924DC" w:rsidRDefault="00B877D7" w:rsidP="00B877D7">
      <w:pPr>
        <w:rPr>
          <w:sz w:val="24"/>
          <w:szCs w:val="24"/>
        </w:rPr>
      </w:pPr>
      <w:r w:rsidRPr="008924DC">
        <w:rPr>
          <w:rFonts w:ascii="Times New Roman" w:eastAsia="Calibri" w:hAnsi="Times New Roman" w:cs="Times New Roman"/>
          <w:bCs/>
          <w:sz w:val="24"/>
          <w:szCs w:val="24"/>
        </w:rPr>
        <w:t xml:space="preserve">Heidi Gamble, Board Clerk, to administer the oath of office to Tabitha Sherrill, Member of the Board of Education Office #4. </w:t>
      </w:r>
    </w:p>
    <w:p w:rsidR="008924DC" w:rsidRPr="008924DC" w:rsidRDefault="008924DC" w:rsidP="008924DC">
      <w:pPr>
        <w:rPr>
          <w:sz w:val="24"/>
          <w:szCs w:val="24"/>
        </w:rPr>
      </w:pPr>
      <w:r w:rsidRPr="00191E86">
        <w:rPr>
          <w:sz w:val="24"/>
          <w:szCs w:val="24"/>
        </w:rPr>
        <w:t xml:space="preserve">Motion by </w:t>
      </w:r>
      <w:r>
        <w:rPr>
          <w:sz w:val="24"/>
          <w:szCs w:val="24"/>
        </w:rPr>
        <w:t xml:space="preserve">Klein </w:t>
      </w:r>
      <w:r w:rsidRPr="00191E86">
        <w:rPr>
          <w:sz w:val="24"/>
          <w:szCs w:val="24"/>
        </w:rPr>
        <w:t>seconded by</w:t>
      </w:r>
      <w:r>
        <w:rPr>
          <w:sz w:val="24"/>
          <w:szCs w:val="24"/>
        </w:rPr>
        <w:t xml:space="preserve"> Gamble </w:t>
      </w:r>
      <w:r w:rsidRPr="00191E86">
        <w:rPr>
          <w:sz w:val="24"/>
          <w:szCs w:val="24"/>
        </w:rPr>
        <w:t>to approve the agenda. Gamble; yea, Klein: yea,</w:t>
      </w:r>
      <w:r>
        <w:rPr>
          <w:sz w:val="24"/>
          <w:szCs w:val="24"/>
        </w:rPr>
        <w:t xml:space="preserve"> Williams; yea, Sherrill; yea, </w:t>
      </w:r>
      <w:r w:rsidRPr="00191E86">
        <w:rPr>
          <w:sz w:val="24"/>
          <w:szCs w:val="24"/>
        </w:rPr>
        <w:t>Townley yea. Nays: None. Motion carried.</w:t>
      </w:r>
    </w:p>
    <w:p w:rsidR="008924DC" w:rsidRDefault="008924DC" w:rsidP="00EE184C">
      <w:pPr>
        <w:rPr>
          <w:sz w:val="24"/>
          <w:szCs w:val="24"/>
        </w:rPr>
      </w:pPr>
      <w:r>
        <w:rPr>
          <w:sz w:val="24"/>
          <w:szCs w:val="24"/>
        </w:rPr>
        <w:t>Motion by Klein seconded by Gamble to make a recommendation that board stays as is.</w:t>
      </w:r>
    </w:p>
    <w:p w:rsidR="008924DC" w:rsidRDefault="008924DC" w:rsidP="00EE184C">
      <w:pPr>
        <w:rPr>
          <w:sz w:val="24"/>
          <w:szCs w:val="24"/>
        </w:rPr>
      </w:pPr>
      <w:r>
        <w:rPr>
          <w:sz w:val="24"/>
          <w:szCs w:val="24"/>
        </w:rPr>
        <w:t>A. Board President Rodney Townley to serve for the next 12 months.</w:t>
      </w:r>
    </w:p>
    <w:p w:rsidR="008924DC" w:rsidRDefault="008924DC" w:rsidP="00EE184C">
      <w:pPr>
        <w:rPr>
          <w:sz w:val="24"/>
          <w:szCs w:val="24"/>
        </w:rPr>
      </w:pPr>
      <w:r>
        <w:rPr>
          <w:sz w:val="24"/>
          <w:szCs w:val="24"/>
        </w:rPr>
        <w:t>B. Vice President David Klein to serve for the next 12 months.</w:t>
      </w:r>
    </w:p>
    <w:p w:rsidR="008924DC" w:rsidRDefault="008924DC" w:rsidP="008924DC">
      <w:pPr>
        <w:rPr>
          <w:sz w:val="24"/>
          <w:szCs w:val="24"/>
        </w:rPr>
      </w:pPr>
      <w:r>
        <w:rPr>
          <w:sz w:val="24"/>
          <w:szCs w:val="24"/>
        </w:rPr>
        <w:t>C. Board Clerk Heidi Gamble to serve for the next 12 months.</w:t>
      </w:r>
    </w:p>
    <w:p w:rsidR="007E72CF" w:rsidRDefault="007E72CF" w:rsidP="008924DC">
      <w:pPr>
        <w:rPr>
          <w:sz w:val="24"/>
          <w:szCs w:val="24"/>
        </w:rPr>
      </w:pPr>
      <w:r>
        <w:rPr>
          <w:sz w:val="24"/>
          <w:szCs w:val="24"/>
        </w:rPr>
        <w:t>Sherrill; yea, Gamble; yea, Klein; yea, Williams; yea, Townley; yea. Nays: None. Motion carried.</w:t>
      </w:r>
    </w:p>
    <w:p w:rsidR="008924DC" w:rsidRDefault="008924DC" w:rsidP="007E72CF">
      <w:pPr>
        <w:pStyle w:val="NoSpacing"/>
      </w:pPr>
      <w:r>
        <w:t>The 2022-2023 school audit was presented to the board by Pam Dotson with recommendations being made.</w:t>
      </w:r>
    </w:p>
    <w:p w:rsidR="008924DC" w:rsidRDefault="008924DC" w:rsidP="007E72CF">
      <w:pPr>
        <w:pStyle w:val="NoSpacing"/>
      </w:pPr>
      <w:r>
        <w:t xml:space="preserve">Motion by Gamble seconded Klein to accept the 2022-2023 annual school audit. </w:t>
      </w:r>
      <w:r w:rsidRPr="00191E86">
        <w:t xml:space="preserve"> Gamble; yea, Klein: yea,</w:t>
      </w:r>
      <w:r>
        <w:t xml:space="preserve"> Williams; yea, Sherrill; yea, </w:t>
      </w:r>
      <w:r w:rsidRPr="00191E86">
        <w:t>Townley yea. Nays: None. Motion carried.</w:t>
      </w:r>
    </w:p>
    <w:p w:rsidR="007E72CF" w:rsidRDefault="007E72CF" w:rsidP="00EE184C">
      <w:pPr>
        <w:rPr>
          <w:sz w:val="24"/>
          <w:szCs w:val="24"/>
        </w:rPr>
      </w:pP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>Motion by</w:t>
      </w:r>
      <w:r w:rsidR="008924DC">
        <w:rPr>
          <w:sz w:val="24"/>
          <w:szCs w:val="24"/>
        </w:rPr>
        <w:t xml:space="preserve"> </w:t>
      </w:r>
      <w:r w:rsidR="007E72CF">
        <w:rPr>
          <w:sz w:val="24"/>
          <w:szCs w:val="24"/>
        </w:rPr>
        <w:t>Klein</w:t>
      </w:r>
      <w:r w:rsidRPr="00191E86">
        <w:rPr>
          <w:sz w:val="24"/>
          <w:szCs w:val="24"/>
        </w:rPr>
        <w:t xml:space="preserve"> seconded by</w:t>
      </w:r>
      <w:r w:rsidR="007E72CF">
        <w:rPr>
          <w:sz w:val="24"/>
          <w:szCs w:val="24"/>
        </w:rPr>
        <w:t xml:space="preserve"> Gamble </w:t>
      </w:r>
      <w:r w:rsidRPr="00191E86">
        <w:rPr>
          <w:sz w:val="24"/>
          <w:szCs w:val="24"/>
        </w:rPr>
        <w:t>to approve the minutes for previous meeting March 11, 2024. Gamble; yea,</w:t>
      </w:r>
      <w:r w:rsidR="007E72CF">
        <w:rPr>
          <w:sz w:val="24"/>
          <w:szCs w:val="24"/>
        </w:rPr>
        <w:t xml:space="preserve"> Klein;</w:t>
      </w:r>
      <w:r w:rsidRPr="00191E86">
        <w:rPr>
          <w:sz w:val="24"/>
          <w:szCs w:val="24"/>
        </w:rPr>
        <w:t xml:space="preserve"> yea, Townley yea. Nays: None. Motion carried.</w:t>
      </w:r>
    </w:p>
    <w:p w:rsidR="00EE184C" w:rsidRPr="00191E86" w:rsidRDefault="00EE184C" w:rsidP="00EE184C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 xml:space="preserve">Motion by </w:t>
      </w:r>
      <w:r w:rsidR="00267162">
        <w:rPr>
          <w:sz w:val="24"/>
          <w:szCs w:val="24"/>
        </w:rPr>
        <w:t xml:space="preserve">Gamble </w:t>
      </w:r>
      <w:r w:rsidRPr="00191E86">
        <w:rPr>
          <w:sz w:val="24"/>
          <w:szCs w:val="24"/>
        </w:rPr>
        <w:t>seconded by</w:t>
      </w:r>
      <w:r w:rsidR="00267162">
        <w:rPr>
          <w:sz w:val="24"/>
          <w:szCs w:val="24"/>
        </w:rPr>
        <w:t xml:space="preserve"> Klein</w:t>
      </w:r>
      <w:r w:rsidRPr="00191E86">
        <w:rPr>
          <w:sz w:val="24"/>
          <w:szCs w:val="24"/>
        </w:rPr>
        <w:t xml:space="preserve"> to approve the encumbrances of purchase orders:</w:t>
      </w:r>
    </w:p>
    <w:p w:rsidR="00B877D7" w:rsidRPr="00191E86" w:rsidRDefault="00B877D7" w:rsidP="00EE184C">
      <w:pPr>
        <w:pStyle w:val="NoSpacing"/>
        <w:rPr>
          <w:sz w:val="24"/>
          <w:szCs w:val="24"/>
        </w:rPr>
      </w:pPr>
    </w:p>
    <w:p w:rsidR="00B877D7" w:rsidRPr="00B877D7" w:rsidRDefault="00B877D7" w:rsidP="00B877D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B877D7">
        <w:rPr>
          <w:rFonts w:ascii="Times New Roman" w:eastAsia="Calibri" w:hAnsi="Times New Roman" w:cs="Times New Roman"/>
          <w:sz w:val="24"/>
          <w:szCs w:val="24"/>
        </w:rPr>
        <w:t>General Fund #328 thru #356 for $37,214.13.</w:t>
      </w:r>
    </w:p>
    <w:p w:rsidR="00B877D7" w:rsidRPr="00B877D7" w:rsidRDefault="00B877D7" w:rsidP="00B877D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B877D7">
        <w:rPr>
          <w:rFonts w:ascii="Times New Roman" w:eastAsia="Calibri" w:hAnsi="Times New Roman" w:cs="Times New Roman"/>
          <w:sz w:val="24"/>
          <w:szCs w:val="24"/>
        </w:rPr>
        <w:t>Building Fund #70 thru #76 for $8,024.06.</w:t>
      </w:r>
    </w:p>
    <w:p w:rsidR="00B877D7" w:rsidRPr="00191E86" w:rsidRDefault="00B877D7" w:rsidP="00B877D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877D7">
        <w:rPr>
          <w:rFonts w:ascii="Times New Roman" w:eastAsia="Calibri" w:hAnsi="Times New Roman" w:cs="Times New Roman"/>
          <w:sz w:val="24"/>
          <w:szCs w:val="24"/>
        </w:rPr>
        <w:t>Child Nutrition #46 thru #49 for $10,644.27.</w:t>
      </w:r>
    </w:p>
    <w:p w:rsidR="00EE184C" w:rsidRPr="00191E86" w:rsidRDefault="00EE184C" w:rsidP="00EE184C">
      <w:pPr>
        <w:pStyle w:val="NoSpacing"/>
        <w:rPr>
          <w:sz w:val="24"/>
          <w:szCs w:val="24"/>
        </w:rPr>
      </w:pP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>Klein: yea, Gamble; yea,</w:t>
      </w:r>
      <w:r w:rsidR="007E72CF">
        <w:rPr>
          <w:sz w:val="24"/>
          <w:szCs w:val="24"/>
        </w:rPr>
        <w:t xml:space="preserve"> Sherrill; yea, Williams; yea,</w:t>
      </w:r>
      <w:r w:rsidRPr="00191E86">
        <w:rPr>
          <w:sz w:val="24"/>
          <w:szCs w:val="24"/>
        </w:rPr>
        <w:t xml:space="preserve"> Townley; yea. Nays: None. Motion carried. </w:t>
      </w: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lastRenderedPageBreak/>
        <w:t>Motion by</w:t>
      </w:r>
      <w:r w:rsidR="00267162">
        <w:rPr>
          <w:sz w:val="24"/>
          <w:szCs w:val="24"/>
        </w:rPr>
        <w:t xml:space="preserve"> Klein seconded by Gamble </w:t>
      </w:r>
      <w:r w:rsidRPr="00191E86">
        <w:rPr>
          <w:sz w:val="24"/>
          <w:szCs w:val="24"/>
        </w:rPr>
        <w:t>to acknowledge receipt of</w:t>
      </w: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 xml:space="preserve"> A.) Activity Fund Report for March, 2024.</w:t>
      </w:r>
    </w:p>
    <w:p w:rsidR="00EE184C" w:rsidRPr="00191E86" w:rsidRDefault="00EE184C" w:rsidP="00EE184C">
      <w:pPr>
        <w:rPr>
          <w:sz w:val="24"/>
          <w:szCs w:val="24"/>
        </w:rPr>
      </w:pPr>
      <w:r w:rsidRPr="00191E86">
        <w:rPr>
          <w:sz w:val="24"/>
          <w:szCs w:val="24"/>
        </w:rPr>
        <w:t xml:space="preserve"> B.) Cafeteria Report for March, 2024. </w:t>
      </w:r>
    </w:p>
    <w:p w:rsidR="00EE184C" w:rsidRPr="00191E86" w:rsidRDefault="007E72CF" w:rsidP="00EE184C">
      <w:pPr>
        <w:rPr>
          <w:sz w:val="24"/>
          <w:szCs w:val="24"/>
        </w:rPr>
      </w:pPr>
      <w:r>
        <w:rPr>
          <w:sz w:val="24"/>
          <w:szCs w:val="24"/>
        </w:rPr>
        <w:t xml:space="preserve">Gamble yea; Klein; yea, Williams; yea, Sherrill; yea, </w:t>
      </w:r>
      <w:r w:rsidR="00EE184C" w:rsidRPr="00191E86">
        <w:rPr>
          <w:sz w:val="24"/>
          <w:szCs w:val="24"/>
        </w:rPr>
        <w:t>Townley; yea. Nays: None. Motion carried.</w:t>
      </w:r>
    </w:p>
    <w:p w:rsidR="00FA6B4F" w:rsidRPr="00191E86" w:rsidRDefault="00EE184C" w:rsidP="00FA6B4F">
      <w:pPr>
        <w:rPr>
          <w:sz w:val="24"/>
          <w:szCs w:val="24"/>
        </w:rPr>
      </w:pPr>
      <w:r w:rsidRPr="00191E86">
        <w:rPr>
          <w:sz w:val="24"/>
          <w:szCs w:val="24"/>
        </w:rPr>
        <w:t xml:space="preserve">Motion by Klein seconded by Gamble to accept the Treasurer’s Report for March, 2024. </w:t>
      </w:r>
      <w:r w:rsidR="007E72CF">
        <w:rPr>
          <w:sz w:val="24"/>
          <w:szCs w:val="24"/>
        </w:rPr>
        <w:t xml:space="preserve">Williams; yea, Sherrill; yea, </w:t>
      </w:r>
      <w:r w:rsidRPr="00191E86">
        <w:rPr>
          <w:sz w:val="24"/>
          <w:szCs w:val="24"/>
        </w:rPr>
        <w:t xml:space="preserve">Gamble; yea, Klein; yea, Townley; yea. Nays: None. Motion carried. </w:t>
      </w:r>
    </w:p>
    <w:p w:rsidR="00FA6B4F" w:rsidRPr="00191E86" w:rsidRDefault="00FA6B4F" w:rsidP="00FA6B4F">
      <w:pPr>
        <w:rPr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Motion </w:t>
      </w:r>
      <w:r w:rsidR="00267162">
        <w:rPr>
          <w:rFonts w:ascii="Times New Roman" w:eastAsia="Calibri" w:hAnsi="Times New Roman" w:cs="Times New Roman"/>
          <w:sz w:val="24"/>
          <w:szCs w:val="24"/>
        </w:rPr>
        <w:t>by Williams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seconded by</w:t>
      </w:r>
      <w:r w:rsidR="00267162">
        <w:rPr>
          <w:rFonts w:ascii="Times New Roman" w:eastAsia="Calibri" w:hAnsi="Times New Roman" w:cs="Times New Roman"/>
          <w:sz w:val="24"/>
          <w:szCs w:val="24"/>
        </w:rPr>
        <w:t xml:space="preserve"> Gamble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to continue</w:t>
      </w:r>
      <w:r w:rsidR="00B877D7" w:rsidRPr="00B877D7">
        <w:rPr>
          <w:rFonts w:ascii="Times New Roman" w:eastAsia="Calibri" w:hAnsi="Times New Roman" w:cs="Times New Roman"/>
          <w:sz w:val="24"/>
          <w:szCs w:val="24"/>
        </w:rPr>
        <w:t xml:space="preserve"> employment of the certified teachers, </w:t>
      </w:r>
      <w:r w:rsidRPr="00191E86">
        <w:rPr>
          <w:rFonts w:ascii="Times New Roman" w:eastAsia="Calibri" w:hAnsi="Times New Roman" w:cs="Times New Roman"/>
          <w:sz w:val="24"/>
          <w:szCs w:val="24"/>
        </w:rPr>
        <w:t>subject to reassignment, for the 2024-2025 school year as listed: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A.</w:t>
      </w:r>
      <w:r w:rsidRPr="00191E86">
        <w:rPr>
          <w:sz w:val="24"/>
          <w:szCs w:val="24"/>
        </w:rPr>
        <w:tab/>
        <w:t>Allen, Jennifer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B.</w:t>
      </w:r>
      <w:r w:rsidRPr="00191E86">
        <w:rPr>
          <w:sz w:val="24"/>
          <w:szCs w:val="24"/>
        </w:rPr>
        <w:tab/>
        <w:t>Anderson, Mandee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B.</w:t>
      </w:r>
      <w:r w:rsidRPr="00191E86">
        <w:rPr>
          <w:sz w:val="24"/>
          <w:szCs w:val="24"/>
        </w:rPr>
        <w:tab/>
        <w:t>Arnold, Macey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C.</w:t>
      </w:r>
      <w:r w:rsidRPr="00191E86">
        <w:rPr>
          <w:sz w:val="24"/>
          <w:szCs w:val="24"/>
        </w:rPr>
        <w:tab/>
        <w:t>Cayton, Julie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D.</w:t>
      </w:r>
      <w:r w:rsidRPr="00191E86">
        <w:rPr>
          <w:sz w:val="24"/>
          <w:szCs w:val="24"/>
        </w:rPr>
        <w:tab/>
        <w:t>Dean, Jessica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E.</w:t>
      </w:r>
      <w:r w:rsidRPr="00191E86">
        <w:rPr>
          <w:sz w:val="24"/>
          <w:szCs w:val="24"/>
        </w:rPr>
        <w:tab/>
        <w:t>Galaviz, Kaleb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F.</w:t>
      </w:r>
      <w:r w:rsidRPr="00191E86">
        <w:rPr>
          <w:sz w:val="24"/>
          <w:szCs w:val="24"/>
        </w:rPr>
        <w:tab/>
        <w:t>Howard, Tori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G.</w:t>
      </w:r>
      <w:r w:rsidRPr="00191E86">
        <w:rPr>
          <w:sz w:val="24"/>
          <w:szCs w:val="24"/>
        </w:rPr>
        <w:tab/>
        <w:t>Jensen, Seth</w:t>
      </w:r>
    </w:p>
    <w:p w:rsidR="00FA6B4F" w:rsidRPr="00191E86" w:rsidRDefault="00FA6B4F" w:rsidP="00FA6B4F">
      <w:pPr>
        <w:pStyle w:val="NoSpacing"/>
        <w:rPr>
          <w:sz w:val="24"/>
          <w:szCs w:val="24"/>
        </w:rPr>
      </w:pPr>
      <w:r w:rsidRPr="00191E86">
        <w:rPr>
          <w:sz w:val="24"/>
          <w:szCs w:val="24"/>
        </w:rPr>
        <w:tab/>
        <w:t>H.</w:t>
      </w:r>
      <w:r w:rsidRPr="00191E86">
        <w:rPr>
          <w:sz w:val="24"/>
          <w:szCs w:val="24"/>
        </w:rPr>
        <w:tab/>
        <w:t>Johnson, Catherine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I.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Layton, Kimberly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J.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Lemieux, Dace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K.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Mejia, Jordan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L.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Morphew, Brittany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M.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Murray, Haly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N.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Nimmo, Jennifer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O.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Ray, Tiffany</w:t>
      </w:r>
    </w:p>
    <w:p w:rsidR="00FA6B4F" w:rsidRPr="00191E86" w:rsidRDefault="00FA6B4F" w:rsidP="00FA6B4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  <w:t>P.</w:t>
      </w:r>
      <w:r w:rsidRPr="00191E86">
        <w:rPr>
          <w:rFonts w:ascii="Times New Roman" w:eastAsia="Calibri" w:hAnsi="Times New Roman" w:cs="Times New Roman"/>
          <w:sz w:val="24"/>
          <w:szCs w:val="24"/>
        </w:rPr>
        <w:tab/>
        <w:t>Ring, Kelsey</w:t>
      </w:r>
    </w:p>
    <w:p w:rsidR="00FA6B4F" w:rsidRDefault="00FA6B4F" w:rsidP="00FA6B4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A6B4F">
        <w:rPr>
          <w:rFonts w:ascii="Times New Roman" w:eastAsia="Calibri" w:hAnsi="Times New Roman" w:cs="Times New Roman"/>
          <w:sz w:val="24"/>
          <w:szCs w:val="24"/>
        </w:rPr>
        <w:tab/>
        <w:t>Q.</w:t>
      </w:r>
      <w:r w:rsidRPr="00FA6B4F">
        <w:rPr>
          <w:rFonts w:ascii="Times New Roman" w:eastAsia="Calibri" w:hAnsi="Times New Roman" w:cs="Times New Roman"/>
          <w:sz w:val="24"/>
          <w:szCs w:val="24"/>
        </w:rPr>
        <w:tab/>
        <w:t>Shaffer, Courtney</w:t>
      </w:r>
    </w:p>
    <w:p w:rsidR="007E72CF" w:rsidRDefault="007E72CF" w:rsidP="00FA6B4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Gamble; yea, Sherrill; yea, Williams; yea, Klein; yea, Townley; yea. Nays: None. Motion</w:t>
      </w:r>
    </w:p>
    <w:p w:rsidR="007E72CF" w:rsidRDefault="007E72CF" w:rsidP="007E72C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carried. </w:t>
      </w:r>
    </w:p>
    <w:p w:rsidR="007E72CF" w:rsidRDefault="007E72CF" w:rsidP="007E72C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267162" w:rsidRDefault="00FA6B4F" w:rsidP="007E72C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>Motion by</w:t>
      </w:r>
      <w:r w:rsidR="00267162">
        <w:rPr>
          <w:rFonts w:ascii="Times New Roman" w:eastAsia="Calibri" w:hAnsi="Times New Roman" w:cs="Times New Roman"/>
          <w:sz w:val="24"/>
          <w:szCs w:val="24"/>
        </w:rPr>
        <w:t xml:space="preserve"> Gamble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seconded by</w:t>
      </w:r>
      <w:r w:rsidR="00267162">
        <w:rPr>
          <w:rFonts w:ascii="Times New Roman" w:eastAsia="Calibri" w:hAnsi="Times New Roman" w:cs="Times New Roman"/>
          <w:sz w:val="24"/>
          <w:szCs w:val="24"/>
        </w:rPr>
        <w:t xml:space="preserve"> Klein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FA6B4F">
        <w:rPr>
          <w:rFonts w:ascii="Times New Roman" w:eastAsia="Calibri" w:hAnsi="Times New Roman" w:cs="Times New Roman"/>
          <w:sz w:val="24"/>
          <w:szCs w:val="24"/>
        </w:rPr>
        <w:t>hiring the following as part-ti</w:t>
      </w:r>
      <w:r w:rsidR="00267162">
        <w:rPr>
          <w:rFonts w:ascii="Times New Roman" w:eastAsia="Calibri" w:hAnsi="Times New Roman" w:cs="Times New Roman"/>
          <w:sz w:val="24"/>
          <w:szCs w:val="24"/>
        </w:rPr>
        <w:t>me support staff</w:t>
      </w:r>
    </w:p>
    <w:p w:rsidR="00FA6B4F" w:rsidRPr="00FA6B4F" w:rsidRDefault="00267162" w:rsidP="007E72C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FA6B4F" w:rsidRPr="00191E86">
        <w:rPr>
          <w:rFonts w:ascii="Times New Roman" w:eastAsia="Calibri" w:hAnsi="Times New Roman" w:cs="Times New Roman"/>
          <w:sz w:val="24"/>
          <w:szCs w:val="24"/>
        </w:rPr>
        <w:t>hroughout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B4F" w:rsidRPr="00191E8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>2024</w:t>
      </w:r>
      <w:r w:rsidR="00FA6B4F" w:rsidRPr="00191E86">
        <w:rPr>
          <w:rFonts w:ascii="Times New Roman" w:eastAsia="Calibri" w:hAnsi="Times New Roman" w:cs="Times New Roman"/>
          <w:sz w:val="24"/>
          <w:szCs w:val="24"/>
        </w:rPr>
        <w:t xml:space="preserve"> summer: </w:t>
      </w:r>
    </w:p>
    <w:p w:rsidR="00FA6B4F" w:rsidRPr="00FA6B4F" w:rsidRDefault="007E72CF" w:rsidP="00FA6B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>A.</w:t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ab/>
        <w:t>Dace Lemieux, effective May 13</w:t>
      </w:r>
      <w:r w:rsidR="00FA6B4F" w:rsidRPr="00FA6B4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 xml:space="preserve"> – July 19</w:t>
      </w:r>
      <w:r w:rsidR="00FA6B4F" w:rsidRPr="00FA6B4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A6B4F" w:rsidRPr="00FA6B4F" w:rsidRDefault="007E72CF" w:rsidP="00FA6B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>B.</w:t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ab/>
        <w:t>Jeri Dean, effective May 20</w:t>
      </w:r>
      <w:r w:rsidR="00FA6B4F" w:rsidRPr="00FA6B4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FA6B4F" w:rsidRPr="00FA6B4F">
        <w:rPr>
          <w:rFonts w:ascii="Times New Roman" w:eastAsia="Calibri" w:hAnsi="Times New Roman" w:cs="Times New Roman"/>
          <w:sz w:val="24"/>
          <w:szCs w:val="24"/>
        </w:rPr>
        <w:t xml:space="preserve"> – August 2</w:t>
      </w:r>
      <w:r w:rsidR="00FA6B4F" w:rsidRPr="00FA6B4F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</w:p>
    <w:p w:rsidR="00FA6B4F" w:rsidRDefault="007E72CF" w:rsidP="00FA6B4F">
      <w:pPr>
        <w:pStyle w:val="NoSpacing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6B4F" w:rsidRPr="00191E86">
        <w:rPr>
          <w:rFonts w:ascii="Times New Roman" w:eastAsia="Calibri" w:hAnsi="Times New Roman" w:cs="Times New Roman"/>
          <w:sz w:val="24"/>
          <w:szCs w:val="24"/>
        </w:rPr>
        <w:t>C.</w:t>
      </w:r>
      <w:r w:rsidR="00FA6B4F" w:rsidRPr="00191E86">
        <w:rPr>
          <w:rFonts w:ascii="Times New Roman" w:eastAsia="Calibri" w:hAnsi="Times New Roman" w:cs="Times New Roman"/>
          <w:sz w:val="24"/>
          <w:szCs w:val="24"/>
        </w:rPr>
        <w:tab/>
        <w:t>Seth Jensen, effective June 1</w:t>
      </w:r>
      <w:r w:rsidR="00FA6B4F" w:rsidRPr="00191E86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FA6B4F" w:rsidRPr="00191E86">
        <w:rPr>
          <w:rFonts w:ascii="Times New Roman" w:eastAsia="Calibri" w:hAnsi="Times New Roman" w:cs="Times New Roman"/>
          <w:sz w:val="24"/>
          <w:szCs w:val="24"/>
        </w:rPr>
        <w:t xml:space="preserve"> – August 9</w:t>
      </w:r>
      <w:r w:rsidR="00FA6B4F" w:rsidRPr="00191E8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</w:p>
    <w:p w:rsidR="007E72CF" w:rsidRPr="00191E86" w:rsidRDefault="007E72CF" w:rsidP="007E72CF">
      <w:pPr>
        <w:pStyle w:val="NoSpacing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Williams; yea, Sherrill; yea, </w:t>
      </w:r>
      <w:r w:rsidRPr="00191E86">
        <w:rPr>
          <w:sz w:val="24"/>
          <w:szCs w:val="24"/>
        </w:rPr>
        <w:t>Gamble; yea, Klein; yea, Townley; yea. Nays: None. Motion carried.</w:t>
      </w:r>
    </w:p>
    <w:p w:rsidR="000A77F3" w:rsidRPr="00191E86" w:rsidRDefault="000A77F3" w:rsidP="00FA6B4F">
      <w:pPr>
        <w:pStyle w:val="NoSpacing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267162" w:rsidRDefault="000A77F3" w:rsidP="004829C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>Motion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Klein</w:t>
      </w:r>
      <w:r w:rsidR="00267162">
        <w:rPr>
          <w:rFonts w:ascii="Times New Roman" w:eastAsia="Calibri" w:hAnsi="Times New Roman" w:cs="Times New Roman"/>
          <w:sz w:val="24"/>
          <w:szCs w:val="24"/>
        </w:rPr>
        <w:t xml:space="preserve"> seconded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Gamble </w:t>
      </w:r>
      <w:r w:rsidRPr="00191E86">
        <w:rPr>
          <w:rFonts w:ascii="Times New Roman" w:eastAsia="Calibri" w:hAnsi="Times New Roman" w:cs="Times New Roman"/>
          <w:sz w:val="24"/>
          <w:szCs w:val="24"/>
        </w:rPr>
        <w:t>to approve the</w:t>
      </w:r>
      <w:r w:rsidR="00267162">
        <w:rPr>
          <w:rFonts w:ascii="Times New Roman" w:eastAsia="Calibri" w:hAnsi="Times New Roman" w:cs="Times New Roman"/>
          <w:sz w:val="24"/>
          <w:szCs w:val="24"/>
        </w:rPr>
        <w:t xml:space="preserve"> certified teacher extra-duty</w:t>
      </w:r>
    </w:p>
    <w:p w:rsidR="000A77F3" w:rsidRPr="000A77F3" w:rsidRDefault="000A77F3" w:rsidP="004829C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>assignments for the 2024-2025 school year as listed: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A.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Allen, Jennifer – Class Spon., HS StuCo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lastRenderedPageBreak/>
        <w:tab/>
        <w:t>B.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Arnold, Macey –JH/HS FP Head, JH/HS SP Head, Jr. Class Spon.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C.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Cayton, Julie – HS Academic, Class Spon., NHS Spon.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Dean, Jessica – Yearbook, Elem. Academic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E.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 xml:space="preserve">Edwards, John – Archery 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>F.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Galaviz, Kaleb – HS/JH FB Asst., HS/JH BB Head, Class Spon.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>G.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Howard – SPED Director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>H.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Jensen, Seth – HS/JH FB Asst., HS B BB Asst., JH B/G BB Asst., HS/JH BA Head, Class Spon.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I.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Johnson, Catherine – Elem G/T, Elem StuCo.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</w:r>
    </w:p>
    <w:p w:rsidR="000A77F3" w:rsidRPr="00191E8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J.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Kesler, Krysti – Ath. Dir., Stud. Act. Dir., Class Spon., HS G/T, Tbk Coor.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</w:r>
      <w:r w:rsidRPr="000A77F3">
        <w:rPr>
          <w:rFonts w:ascii="Times New Roman" w:eastAsia="Calibri" w:hAnsi="Times New Roman" w:cs="Times New Roman"/>
          <w:sz w:val="24"/>
          <w:szCs w:val="24"/>
        </w:rPr>
        <w:t>K.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Layton, Kimberly – RSA Coor.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ab/>
      </w:r>
      <w:r w:rsidRPr="000A77F3">
        <w:rPr>
          <w:rFonts w:ascii="Times New Roman" w:eastAsia="Calibri" w:hAnsi="Times New Roman" w:cs="Times New Roman"/>
          <w:sz w:val="24"/>
          <w:szCs w:val="24"/>
        </w:rPr>
        <w:t>L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77F3">
        <w:rPr>
          <w:rFonts w:ascii="Times New Roman" w:eastAsia="Calibri" w:hAnsi="Times New Roman" w:cs="Times New Roman"/>
          <w:sz w:val="24"/>
          <w:szCs w:val="24"/>
        </w:rPr>
        <w:t>Lemieux, Dace – HS/JH FB Head, HS/JH TR Head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M.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Mejia, Jordan – HS GBB Head, JH/HS TR Asst., Class Spon.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N.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Morphew, Brittany – Class Spon.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O.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Murray, Haly – Class Spon.</w:t>
      </w:r>
    </w:p>
    <w:p w:rsid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A77F3">
        <w:rPr>
          <w:rFonts w:ascii="Times New Roman" w:eastAsia="Calibri" w:hAnsi="Times New Roman" w:cs="Times New Roman"/>
          <w:sz w:val="24"/>
          <w:szCs w:val="24"/>
        </w:rPr>
        <w:tab/>
        <w:t>P.</w:t>
      </w:r>
      <w:r w:rsidRPr="000A77F3">
        <w:rPr>
          <w:rFonts w:ascii="Times New Roman" w:eastAsia="Calibri" w:hAnsi="Times New Roman" w:cs="Times New Roman"/>
          <w:sz w:val="24"/>
          <w:szCs w:val="24"/>
        </w:rPr>
        <w:tab/>
        <w:t>Stevens, Seth – Band, Jr. Class Spon.</w:t>
      </w:r>
    </w:p>
    <w:p w:rsidR="007E72CF" w:rsidRDefault="007E72CF" w:rsidP="007E72C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Williams; yea, Sherrill; yea, </w:t>
      </w:r>
      <w:r w:rsidRPr="00191E86">
        <w:rPr>
          <w:sz w:val="24"/>
          <w:szCs w:val="24"/>
        </w:rPr>
        <w:t>Gamble; yea, Klein; yea, Townley</w:t>
      </w:r>
      <w:r>
        <w:rPr>
          <w:sz w:val="24"/>
          <w:szCs w:val="24"/>
        </w:rPr>
        <w:t>; yea. Nays: None. Motion</w:t>
      </w:r>
    </w:p>
    <w:p w:rsidR="007E72CF" w:rsidRPr="00191E86" w:rsidRDefault="007E72CF" w:rsidP="007E72C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sz w:val="24"/>
          <w:szCs w:val="24"/>
        </w:rPr>
        <w:t>carried.</w:t>
      </w:r>
    </w:p>
    <w:p w:rsidR="007E72CF" w:rsidRDefault="007E72CF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369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>Motion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Williams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seconded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Gamble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to accept the</w:t>
      </w:r>
      <w:r w:rsidRPr="000A77F3">
        <w:rPr>
          <w:rFonts w:ascii="Times New Roman" w:eastAsia="Calibri" w:hAnsi="Times New Roman" w:cs="Times New Roman"/>
          <w:sz w:val="24"/>
          <w:szCs w:val="24"/>
        </w:rPr>
        <w:t xml:space="preserve"> resig</w:t>
      </w:r>
      <w:r w:rsidR="008C3696">
        <w:rPr>
          <w:rFonts w:ascii="Times New Roman" w:eastAsia="Calibri" w:hAnsi="Times New Roman" w:cs="Times New Roman"/>
          <w:sz w:val="24"/>
          <w:szCs w:val="24"/>
        </w:rPr>
        <w:t>nation of Cherokee Roberts,</w:t>
      </w:r>
    </w:p>
    <w:p w:rsidR="008C3696" w:rsidRDefault="000A77F3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</w:pPr>
      <w:r w:rsidRPr="00191E86">
        <w:rPr>
          <w:rFonts w:ascii="Times New Roman" w:eastAsia="Calibri" w:hAnsi="Times New Roman" w:cs="Times New Roman"/>
          <w:sz w:val="24"/>
          <w:szCs w:val="24"/>
        </w:rPr>
        <w:t>support staff,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77F3">
        <w:rPr>
          <w:rFonts w:ascii="Times New Roman" w:eastAsia="Calibri" w:hAnsi="Times New Roman" w:cs="Times New Roman"/>
          <w:sz w:val="24"/>
          <w:szCs w:val="24"/>
        </w:rPr>
        <w:t>effective March 29, 2024.</w:t>
      </w:r>
      <w:r w:rsidR="007E7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2CF" w:rsidRPr="00191E86">
        <w:t>Gamble; yea, Klein: yea,</w:t>
      </w:r>
      <w:r w:rsidR="007E72CF">
        <w:t xml:space="preserve"> Williams; yea, S</w:t>
      </w:r>
      <w:r w:rsidR="008C3696">
        <w:t>herrill; yea,</w:t>
      </w:r>
    </w:p>
    <w:p w:rsidR="007E72CF" w:rsidRPr="008C3696" w:rsidRDefault="007E72CF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t>Townley yea. Nays: None. Motion carried.</w:t>
      </w:r>
    </w:p>
    <w:p w:rsidR="000A77F3" w:rsidRPr="00191E8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369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>Motion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Williams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seconded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Gamble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0A77F3">
        <w:rPr>
          <w:rFonts w:ascii="Times New Roman" w:eastAsia="Calibri" w:hAnsi="Times New Roman" w:cs="Times New Roman"/>
          <w:sz w:val="24"/>
          <w:szCs w:val="24"/>
        </w:rPr>
        <w:t>accept the resignation of Julie H</w:t>
      </w:r>
      <w:r w:rsidR="008C3696">
        <w:rPr>
          <w:rFonts w:ascii="Times New Roman" w:eastAsia="Calibri" w:hAnsi="Times New Roman" w:cs="Times New Roman"/>
          <w:sz w:val="24"/>
          <w:szCs w:val="24"/>
        </w:rPr>
        <w:t>unter,</w:t>
      </w:r>
    </w:p>
    <w:p w:rsidR="008C3696" w:rsidRDefault="000A77F3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</w:pPr>
      <w:r w:rsidRPr="00191E86">
        <w:rPr>
          <w:rFonts w:ascii="Times New Roman" w:eastAsia="Calibri" w:hAnsi="Times New Roman" w:cs="Times New Roman"/>
          <w:sz w:val="24"/>
          <w:szCs w:val="24"/>
        </w:rPr>
        <w:t>support staff, effective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77F3">
        <w:rPr>
          <w:rFonts w:ascii="Times New Roman" w:eastAsia="Calibri" w:hAnsi="Times New Roman" w:cs="Times New Roman"/>
          <w:sz w:val="24"/>
          <w:szCs w:val="24"/>
        </w:rPr>
        <w:t>at the end of the school year.</w:t>
      </w:r>
      <w:r w:rsidR="007E7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2CF" w:rsidRPr="00191E86">
        <w:t>Gamble; yea, Klein: yea,</w:t>
      </w:r>
      <w:r w:rsidR="007E72CF">
        <w:t xml:space="preserve"> W</w:t>
      </w:r>
      <w:r w:rsidR="008C3696">
        <w:t>illiams; yea,</w:t>
      </w:r>
    </w:p>
    <w:p w:rsidR="007E72CF" w:rsidRPr="008C3696" w:rsidRDefault="007E72CF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t xml:space="preserve">Sherrill; yea, </w:t>
      </w:r>
      <w:r w:rsidRPr="00191E86">
        <w:t xml:space="preserve">Townley </w:t>
      </w:r>
      <w:r>
        <w:tab/>
      </w:r>
      <w:r w:rsidRPr="00191E86">
        <w:t>yea. Nays: None. Motion carried.</w:t>
      </w:r>
    </w:p>
    <w:p w:rsidR="000A77F3" w:rsidRPr="00191E8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369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>Motion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Gamble </w:t>
      </w:r>
      <w:r w:rsidRPr="00191E86">
        <w:rPr>
          <w:rFonts w:ascii="Times New Roman" w:eastAsia="Calibri" w:hAnsi="Times New Roman" w:cs="Times New Roman"/>
          <w:sz w:val="24"/>
          <w:szCs w:val="24"/>
        </w:rPr>
        <w:t>seconded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Klein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to approve</w:t>
      </w:r>
      <w:r w:rsidRPr="000A77F3">
        <w:rPr>
          <w:rFonts w:ascii="Times New Roman" w:eastAsia="Calibri" w:hAnsi="Times New Roman" w:cs="Times New Roman"/>
          <w:sz w:val="24"/>
          <w:szCs w:val="24"/>
        </w:rPr>
        <w:t xml:space="preserve"> the 2024-2025 </w:t>
      </w:r>
      <w:r w:rsidRPr="00191E86">
        <w:rPr>
          <w:rFonts w:ascii="Times New Roman" w:eastAsia="Calibri" w:hAnsi="Times New Roman" w:cs="Times New Roman"/>
          <w:sz w:val="24"/>
          <w:szCs w:val="24"/>
        </w:rPr>
        <w:t>Interlocal Agree</w:t>
      </w:r>
      <w:r w:rsidR="008C3696">
        <w:rPr>
          <w:rFonts w:ascii="Times New Roman" w:eastAsia="Calibri" w:hAnsi="Times New Roman" w:cs="Times New Roman"/>
          <w:sz w:val="24"/>
          <w:szCs w:val="24"/>
        </w:rPr>
        <w:t>ment</w:t>
      </w:r>
    </w:p>
    <w:p w:rsidR="008C3696" w:rsidRDefault="008C3696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>B</w:t>
      </w:r>
      <w:r w:rsidR="000A77F3" w:rsidRPr="00191E86">
        <w:rPr>
          <w:rFonts w:ascii="Times New Roman" w:eastAsia="Calibri" w:hAnsi="Times New Roman" w:cs="Times New Roman"/>
          <w:sz w:val="24"/>
          <w:szCs w:val="24"/>
        </w:rPr>
        <w:t>etween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7F3" w:rsidRPr="000A77F3">
        <w:rPr>
          <w:rFonts w:ascii="Times New Roman" w:eastAsia="Calibri" w:hAnsi="Times New Roman" w:cs="Times New Roman"/>
          <w:sz w:val="24"/>
          <w:szCs w:val="24"/>
        </w:rPr>
        <w:t>Maysville Public School District and the Garvin County Commissioners.</w:t>
      </w:r>
      <w:r w:rsidR="007E72CF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>
        <w:rPr>
          <w:rFonts w:ascii="Times New Roman" w:eastAsia="Calibri" w:hAnsi="Times New Roman" w:cs="Times New Roman"/>
          <w:sz w:val="24"/>
          <w:szCs w:val="24"/>
        </w:rPr>
        <w:t>lein;</w:t>
      </w:r>
    </w:p>
    <w:p w:rsidR="000A77F3" w:rsidRPr="00191E86" w:rsidRDefault="008C3696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yea,</w:t>
      </w:r>
      <w:r w:rsidR="00482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2CF">
        <w:rPr>
          <w:rFonts w:ascii="Times New Roman" w:eastAsia="Calibri" w:hAnsi="Times New Roman" w:cs="Times New Roman"/>
          <w:sz w:val="24"/>
          <w:szCs w:val="24"/>
        </w:rPr>
        <w:t xml:space="preserve">Williams; yea, Gamble; yea, </w:t>
      </w:r>
      <w:r>
        <w:rPr>
          <w:rFonts w:ascii="Times New Roman" w:eastAsia="Calibri" w:hAnsi="Times New Roman" w:cs="Times New Roman"/>
          <w:sz w:val="24"/>
          <w:szCs w:val="24"/>
        </w:rPr>
        <w:t>Sherrill; yea, Townley; yea. Nays: None.</w:t>
      </w: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369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191E86">
        <w:rPr>
          <w:rFonts w:ascii="Times New Roman" w:eastAsia="Calibri" w:hAnsi="Times New Roman" w:cs="Times New Roman"/>
          <w:sz w:val="24"/>
          <w:szCs w:val="24"/>
        </w:rPr>
        <w:t>Motion by</w:t>
      </w:r>
      <w:r w:rsidR="008C3696">
        <w:rPr>
          <w:rFonts w:ascii="Times New Roman" w:eastAsia="Calibri" w:hAnsi="Times New Roman" w:cs="Times New Roman"/>
          <w:sz w:val="24"/>
          <w:szCs w:val="24"/>
        </w:rPr>
        <w:t xml:space="preserve"> Klein seconded by Gamble</w:t>
      </w:r>
      <w:r w:rsidRPr="00191E86">
        <w:rPr>
          <w:rFonts w:ascii="Times New Roman" w:eastAsia="Calibri" w:hAnsi="Times New Roman" w:cs="Times New Roman"/>
          <w:sz w:val="24"/>
          <w:szCs w:val="24"/>
        </w:rPr>
        <w:t xml:space="preserve"> to approve the </w:t>
      </w:r>
      <w:r w:rsidRPr="000A77F3">
        <w:rPr>
          <w:rFonts w:ascii="Times New Roman" w:eastAsia="Calibri" w:hAnsi="Times New Roman" w:cs="Times New Roman"/>
          <w:sz w:val="24"/>
          <w:szCs w:val="24"/>
        </w:rPr>
        <w:t>contracting with Interquest</w:t>
      </w:r>
    </w:p>
    <w:p w:rsidR="008C3696" w:rsidRDefault="000A77F3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</w:pPr>
      <w:r w:rsidRPr="00191E86">
        <w:rPr>
          <w:rFonts w:ascii="Times New Roman" w:eastAsia="Calibri" w:hAnsi="Times New Roman" w:cs="Times New Roman"/>
          <w:sz w:val="24"/>
          <w:szCs w:val="24"/>
        </w:rPr>
        <w:t>Detection Canines for the 2024</w:t>
      </w:r>
      <w:r w:rsidR="008C3696">
        <w:rPr>
          <w:rFonts w:ascii="Times New Roman" w:eastAsia="Calibri" w:hAnsi="Times New Roman" w:cs="Times New Roman"/>
          <w:sz w:val="24"/>
          <w:szCs w:val="24"/>
        </w:rPr>
        <w:t>-</w:t>
      </w:r>
      <w:r w:rsidRPr="000A77F3">
        <w:rPr>
          <w:rFonts w:ascii="Times New Roman" w:eastAsia="Calibri" w:hAnsi="Times New Roman" w:cs="Times New Roman"/>
          <w:sz w:val="24"/>
          <w:szCs w:val="24"/>
        </w:rPr>
        <w:t>2025 school year.</w:t>
      </w:r>
      <w:r w:rsidRPr="000A7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696" w:rsidRPr="00191E86">
        <w:t>Gamble; yea, Klein: yea,</w:t>
      </w:r>
      <w:r w:rsidR="008C3696">
        <w:t xml:space="preserve"> Williams; yea,</w:t>
      </w:r>
    </w:p>
    <w:p w:rsidR="008C3696" w:rsidRPr="008C3696" w:rsidRDefault="008C3696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t xml:space="preserve">Sherrill; yea, </w:t>
      </w:r>
      <w:r w:rsidRPr="00191E86">
        <w:t>Townley yea. Nays: None. Motion carried.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</w:p>
    <w:p w:rsidR="00FE7865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>Motion by</w:t>
      </w:r>
      <w:r w:rsidR="00267162">
        <w:rPr>
          <w:szCs w:val="24"/>
        </w:rPr>
        <w:t xml:space="preserve"> </w:t>
      </w:r>
      <w:r w:rsidR="00FE7865">
        <w:rPr>
          <w:szCs w:val="24"/>
        </w:rPr>
        <w:t>Gamble</w:t>
      </w:r>
      <w:r w:rsidRPr="00191E86">
        <w:rPr>
          <w:szCs w:val="24"/>
        </w:rPr>
        <w:t xml:space="preserve"> seconded by</w:t>
      </w:r>
      <w:r w:rsidR="00FE7865">
        <w:rPr>
          <w:szCs w:val="24"/>
        </w:rPr>
        <w:t xml:space="preserve"> Klein</w:t>
      </w:r>
      <w:r w:rsidRPr="00191E86">
        <w:rPr>
          <w:szCs w:val="24"/>
        </w:rPr>
        <w:t xml:space="preserve"> to approve joining the Organiza</w:t>
      </w:r>
      <w:r w:rsidR="00FE7865">
        <w:rPr>
          <w:szCs w:val="24"/>
        </w:rPr>
        <w:t>tion of Rural</w:t>
      </w:r>
    </w:p>
    <w:p w:rsidR="008C3696" w:rsidRPr="00FE7865" w:rsidRDefault="00FE7865" w:rsidP="00FE7865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>Oklahoma Schools,</w:t>
      </w:r>
      <w:r w:rsidR="004829CE">
        <w:rPr>
          <w:szCs w:val="24"/>
        </w:rPr>
        <w:t xml:space="preserve"> </w:t>
      </w:r>
      <w:r w:rsidR="000A77F3" w:rsidRPr="00191E86">
        <w:rPr>
          <w:szCs w:val="24"/>
        </w:rPr>
        <w:t>OROS, for the 2024-2025 school year.</w:t>
      </w:r>
      <w:r w:rsidR="008C3696">
        <w:rPr>
          <w:szCs w:val="24"/>
        </w:rPr>
        <w:t xml:space="preserve"> </w:t>
      </w:r>
      <w:r w:rsidR="008C3696">
        <w:rPr>
          <w:rFonts w:eastAsia="Calibri"/>
          <w:szCs w:val="24"/>
        </w:rPr>
        <w:t>Klein; yea,</w:t>
      </w:r>
    </w:p>
    <w:p w:rsidR="008C3696" w:rsidRPr="00191E86" w:rsidRDefault="008C3696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Williams; yea, Gamble; yea, Sherrill; yea, Townley; yea. Nays: None.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</w:p>
    <w:p w:rsidR="000A77F3" w:rsidRPr="00191E86" w:rsidRDefault="000A77F3" w:rsidP="008C3696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>Motion by</w:t>
      </w:r>
      <w:r w:rsidR="00FE7865">
        <w:rPr>
          <w:szCs w:val="24"/>
        </w:rPr>
        <w:t xml:space="preserve"> Klein</w:t>
      </w:r>
      <w:r w:rsidRPr="00191E86">
        <w:rPr>
          <w:szCs w:val="24"/>
        </w:rPr>
        <w:t xml:space="preserve"> seconded by</w:t>
      </w:r>
      <w:r w:rsidR="00FE7865">
        <w:rPr>
          <w:szCs w:val="24"/>
        </w:rPr>
        <w:t xml:space="preserve"> Gamble</w:t>
      </w:r>
      <w:r w:rsidRPr="00191E86">
        <w:rPr>
          <w:szCs w:val="24"/>
        </w:rPr>
        <w:t xml:space="preserve"> to approve adopting the following board policies:</w:t>
      </w:r>
    </w:p>
    <w:p w:rsidR="000A77F3" w:rsidRPr="00191E86" w:rsidRDefault="000A77F3" w:rsidP="000A77F3">
      <w:pPr>
        <w:pStyle w:val="Level1"/>
        <w:spacing w:line="215" w:lineRule="auto"/>
        <w:ind w:left="1440"/>
        <w:rPr>
          <w:szCs w:val="24"/>
        </w:rPr>
      </w:pPr>
      <w:r w:rsidRPr="00191E86">
        <w:rPr>
          <w:szCs w:val="24"/>
        </w:rPr>
        <w:t>A.</w:t>
      </w:r>
      <w:r w:rsidRPr="00191E86">
        <w:rPr>
          <w:szCs w:val="24"/>
        </w:rPr>
        <w:tab/>
        <w:t>CKAJ: School Security Surveillance Cameras</w:t>
      </w:r>
    </w:p>
    <w:p w:rsidR="000A77F3" w:rsidRPr="00191E86" w:rsidRDefault="000A77F3" w:rsidP="000A77F3">
      <w:pPr>
        <w:pStyle w:val="Level1"/>
        <w:spacing w:line="215" w:lineRule="auto"/>
        <w:ind w:left="1440"/>
        <w:rPr>
          <w:szCs w:val="24"/>
        </w:rPr>
      </w:pPr>
      <w:r w:rsidRPr="00191E86">
        <w:rPr>
          <w:szCs w:val="24"/>
        </w:rPr>
        <w:t>B.</w:t>
      </w:r>
      <w:r w:rsidRPr="00191E86">
        <w:rPr>
          <w:szCs w:val="24"/>
        </w:rPr>
        <w:tab/>
        <w:t>EHBDBA: Parent Participation in the School District</w:t>
      </w:r>
    </w:p>
    <w:p w:rsidR="008C3696" w:rsidRPr="00191E86" w:rsidRDefault="008C3696" w:rsidP="008C369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Klein; yea,</w:t>
      </w:r>
      <w:r w:rsidR="00482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Williams; yea, Gamble; yea, Sherrill; yea, Townley; yea. Nays: None.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lastRenderedPageBreak/>
        <w:t>Motion by</w:t>
      </w:r>
      <w:r w:rsidR="00FE7865">
        <w:rPr>
          <w:szCs w:val="24"/>
        </w:rPr>
        <w:t xml:space="preserve"> Williams seconded by Gamble </w:t>
      </w:r>
      <w:r w:rsidRPr="00191E86">
        <w:rPr>
          <w:szCs w:val="24"/>
        </w:rPr>
        <w:t>to approve the renewing board policies: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A.</w:t>
      </w:r>
      <w:r w:rsidRPr="00191E86">
        <w:rPr>
          <w:szCs w:val="24"/>
        </w:rPr>
        <w:tab/>
        <w:t>DA: Sexual Harassment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B.</w:t>
      </w:r>
      <w:r w:rsidRPr="00191E86">
        <w:rPr>
          <w:szCs w:val="24"/>
        </w:rPr>
        <w:tab/>
        <w:t>DAA: Nondiscrimination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C.</w:t>
      </w:r>
      <w:r w:rsidRPr="00191E86">
        <w:rPr>
          <w:szCs w:val="24"/>
        </w:rPr>
        <w:tab/>
        <w:t>DAA-E: Discrimination Complaint Form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D.</w:t>
      </w:r>
      <w:r w:rsidRPr="00191E86">
        <w:rPr>
          <w:szCs w:val="24"/>
        </w:rPr>
        <w:tab/>
        <w:t>DAA-E2: Supervisory By-Pass Complaint Form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E.</w:t>
      </w:r>
      <w:r w:rsidRPr="00191E86">
        <w:rPr>
          <w:szCs w:val="24"/>
        </w:rPr>
        <w:tab/>
        <w:t>DAA-E3: Americans with Disabilities Act Grievance Form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F.</w:t>
      </w:r>
      <w:r w:rsidRPr="00191E86">
        <w:rPr>
          <w:szCs w:val="24"/>
        </w:rPr>
        <w:tab/>
        <w:t>DAA-P: Discrimination Complaints Procedures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G.</w:t>
      </w:r>
      <w:r w:rsidRPr="00191E86">
        <w:rPr>
          <w:szCs w:val="24"/>
        </w:rPr>
        <w:tab/>
        <w:t>DAA-P2: ADA Grievance Procedure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H.</w:t>
      </w:r>
      <w:r w:rsidRPr="00191E86">
        <w:rPr>
          <w:szCs w:val="24"/>
        </w:rPr>
        <w:tab/>
        <w:t>DAA-R: Racial Harassment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I.</w:t>
      </w:r>
      <w:r w:rsidRPr="00191E86">
        <w:rPr>
          <w:szCs w:val="24"/>
        </w:rPr>
        <w:tab/>
        <w:t>DAAC: Title I, ESEA Complaint Resolution</w:t>
      </w:r>
    </w:p>
    <w:p w:rsidR="000A77F3" w:rsidRPr="00191E86" w:rsidRDefault="000A77F3" w:rsidP="000A77F3">
      <w:pPr>
        <w:pStyle w:val="Level1"/>
        <w:spacing w:line="215" w:lineRule="auto"/>
        <w:ind w:left="2160" w:hanging="720"/>
        <w:rPr>
          <w:szCs w:val="24"/>
        </w:rPr>
      </w:pPr>
      <w:r w:rsidRPr="00191E86">
        <w:rPr>
          <w:szCs w:val="24"/>
        </w:rPr>
        <w:t>J.</w:t>
      </w:r>
      <w:r w:rsidRPr="00191E86">
        <w:rPr>
          <w:szCs w:val="24"/>
        </w:rPr>
        <w:tab/>
        <w:t>DAAC-E: Investigation Report on the Administration of ESEA Title I Program Activities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K.</w:t>
      </w:r>
      <w:r w:rsidRPr="00191E86">
        <w:rPr>
          <w:szCs w:val="24"/>
        </w:rPr>
        <w:tab/>
        <w:t>DABB: Records Investigation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L.</w:t>
      </w:r>
      <w:r w:rsidRPr="00191E86">
        <w:rPr>
          <w:szCs w:val="24"/>
        </w:rPr>
        <w:tab/>
        <w:t>DABB-E1: Records Investigation Consent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M.</w:t>
      </w:r>
      <w:r w:rsidRPr="00191E86">
        <w:rPr>
          <w:szCs w:val="24"/>
        </w:rPr>
        <w:tab/>
        <w:t>DABB-E3: Temporary Contract Notice of Limited Employment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N.</w:t>
      </w:r>
      <w:r w:rsidRPr="00191E86">
        <w:rPr>
          <w:szCs w:val="24"/>
        </w:rPr>
        <w:tab/>
        <w:t>DABB-E4: Authorization and Release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O.</w:t>
      </w:r>
      <w:r w:rsidRPr="00191E86">
        <w:rPr>
          <w:szCs w:val="24"/>
        </w:rPr>
        <w:tab/>
        <w:t>DBA: Paraprofessionals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P.</w:t>
      </w:r>
      <w:r w:rsidRPr="00191E86">
        <w:rPr>
          <w:szCs w:val="24"/>
        </w:rPr>
        <w:tab/>
        <w:t>DBAA: Title I and Special Education Paraprofessionals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Q.</w:t>
      </w:r>
      <w:r w:rsidRPr="00191E86">
        <w:rPr>
          <w:szCs w:val="24"/>
        </w:rPr>
        <w:tab/>
        <w:t>DBCA: Standards of Performance and Conduct for Teachers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R.</w:t>
      </w:r>
      <w:r w:rsidRPr="00191E86">
        <w:rPr>
          <w:szCs w:val="24"/>
        </w:rPr>
        <w:tab/>
        <w:t>DBD: Conflicts of Interest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S.</w:t>
      </w:r>
      <w:r w:rsidRPr="00191E86">
        <w:rPr>
          <w:szCs w:val="24"/>
        </w:rPr>
        <w:tab/>
        <w:t>DBF: Teacher Consultants (Mentor Teachers)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T.</w:t>
      </w:r>
      <w:r w:rsidRPr="00191E86">
        <w:rPr>
          <w:szCs w:val="24"/>
        </w:rPr>
        <w:tab/>
        <w:t>DBF-R: Mentor Teachers (Regulations)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U.</w:t>
      </w:r>
      <w:r w:rsidRPr="00191E86">
        <w:rPr>
          <w:szCs w:val="24"/>
        </w:rPr>
        <w:tab/>
        <w:t>DC: Employment Practices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V.</w:t>
      </w:r>
      <w:r w:rsidRPr="00191E86">
        <w:rPr>
          <w:szCs w:val="24"/>
        </w:rPr>
        <w:tab/>
        <w:t>DCC: Drug-Free Workplace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W.</w:t>
      </w:r>
      <w:r w:rsidRPr="00191E86">
        <w:rPr>
          <w:szCs w:val="24"/>
        </w:rPr>
        <w:tab/>
        <w:t>DCC-R: Workplace Drug and Alcohol Testing (Regulations)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X.</w:t>
      </w:r>
      <w:r w:rsidRPr="00191E86">
        <w:rPr>
          <w:szCs w:val="24"/>
        </w:rPr>
        <w:tab/>
        <w:t>DCCB: Drug and Alcohol Testing Program Bus Drivers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Y.</w:t>
      </w:r>
      <w:r w:rsidRPr="00191E86">
        <w:rPr>
          <w:szCs w:val="24"/>
        </w:rPr>
        <w:tab/>
        <w:t>DCD-1: Volunteer or Lay Coach Policy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Z.</w:t>
      </w:r>
      <w:r w:rsidRPr="00191E86">
        <w:rPr>
          <w:szCs w:val="24"/>
        </w:rPr>
        <w:tab/>
        <w:t>DCE: Employment and Compensation of Athletic Personnel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AA.</w:t>
      </w:r>
      <w:r w:rsidRPr="00191E86">
        <w:rPr>
          <w:szCs w:val="24"/>
        </w:rPr>
        <w:tab/>
        <w:t>DDA: Contracts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ab/>
        <w:t>BB.</w:t>
      </w:r>
      <w:r w:rsidRPr="00191E86">
        <w:rPr>
          <w:szCs w:val="24"/>
        </w:rPr>
        <w:tab/>
        <w:t>DE: Salaries and Expenses</w:t>
      </w:r>
    </w:p>
    <w:p w:rsidR="008C3696" w:rsidRDefault="008C3696" w:rsidP="000A77F3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>Williams; yea, Sherrill; yea, Klein; yea, Gamble; yea, Townley; yea. Nays: None. Motion</w:t>
      </w:r>
    </w:p>
    <w:p w:rsidR="000A77F3" w:rsidRPr="00191E86" w:rsidRDefault="008C3696" w:rsidP="000A77F3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>carried.</w:t>
      </w:r>
    </w:p>
    <w:p w:rsidR="000A77F3" w:rsidRPr="00191E86" w:rsidRDefault="000A77F3" w:rsidP="000A77F3">
      <w:pPr>
        <w:pStyle w:val="Level1"/>
        <w:spacing w:line="215" w:lineRule="auto"/>
        <w:ind w:left="1440" w:hanging="720"/>
        <w:rPr>
          <w:szCs w:val="24"/>
        </w:rPr>
      </w:pPr>
    </w:p>
    <w:p w:rsidR="00FE7865" w:rsidRDefault="00FE7865" w:rsidP="000A77F3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 xml:space="preserve">Motion by Gamble </w:t>
      </w:r>
      <w:r w:rsidR="00191E86" w:rsidRPr="00191E86">
        <w:rPr>
          <w:szCs w:val="24"/>
        </w:rPr>
        <w:t xml:space="preserve">seconded by </w:t>
      </w:r>
      <w:r>
        <w:rPr>
          <w:szCs w:val="24"/>
        </w:rPr>
        <w:t xml:space="preserve">Klein </w:t>
      </w:r>
      <w:r w:rsidR="00191E86" w:rsidRPr="00191E86">
        <w:rPr>
          <w:szCs w:val="24"/>
        </w:rPr>
        <w:t>to</w:t>
      </w:r>
      <w:r w:rsidR="000A77F3" w:rsidRPr="00191E86">
        <w:rPr>
          <w:szCs w:val="24"/>
        </w:rPr>
        <w:t xml:space="preserve"> approve deleting boar</w:t>
      </w:r>
      <w:r>
        <w:rPr>
          <w:szCs w:val="24"/>
        </w:rPr>
        <w:t>d policy DABB-P: Felony</w:t>
      </w:r>
    </w:p>
    <w:p w:rsidR="00FE7865" w:rsidRDefault="00191E86" w:rsidP="00FE7865">
      <w:pPr>
        <w:pStyle w:val="Level1"/>
        <w:spacing w:line="215" w:lineRule="auto"/>
        <w:ind w:left="1440" w:hanging="720"/>
        <w:rPr>
          <w:szCs w:val="24"/>
        </w:rPr>
      </w:pPr>
      <w:r w:rsidRPr="00191E86">
        <w:rPr>
          <w:szCs w:val="24"/>
        </w:rPr>
        <w:t>Records</w:t>
      </w:r>
      <w:r w:rsidR="00FE7865">
        <w:rPr>
          <w:szCs w:val="24"/>
        </w:rPr>
        <w:t xml:space="preserve"> </w:t>
      </w:r>
      <w:r w:rsidR="000A77F3" w:rsidRPr="00191E86">
        <w:rPr>
          <w:szCs w:val="24"/>
        </w:rPr>
        <w:t>Search Procedures.</w:t>
      </w:r>
      <w:r w:rsidR="008C3696">
        <w:rPr>
          <w:szCs w:val="24"/>
        </w:rPr>
        <w:t xml:space="preserve"> </w:t>
      </w:r>
    </w:p>
    <w:p w:rsidR="008C3696" w:rsidRPr="00FE7865" w:rsidRDefault="008C3696" w:rsidP="00FE7865">
      <w:pPr>
        <w:pStyle w:val="Level1"/>
        <w:spacing w:line="215" w:lineRule="auto"/>
        <w:ind w:left="1440" w:hanging="720"/>
        <w:rPr>
          <w:rFonts w:eastAsia="Calibri"/>
          <w:szCs w:val="24"/>
        </w:rPr>
      </w:pPr>
      <w:r>
        <w:rPr>
          <w:rFonts w:eastAsia="Calibri"/>
          <w:szCs w:val="24"/>
        </w:rPr>
        <w:t>K</w:t>
      </w:r>
      <w:r w:rsidR="00FE7865">
        <w:rPr>
          <w:rFonts w:eastAsia="Calibri"/>
          <w:szCs w:val="24"/>
        </w:rPr>
        <w:t xml:space="preserve">lein; yea, </w:t>
      </w:r>
      <w:r>
        <w:rPr>
          <w:rFonts w:eastAsia="Calibri"/>
          <w:szCs w:val="24"/>
        </w:rPr>
        <w:t>Williams; yea, Gamble; yea, Sherrill; yea, Townley; yea. Nays: None.</w:t>
      </w:r>
    </w:p>
    <w:p w:rsidR="00191E86" w:rsidRPr="00191E86" w:rsidRDefault="00191E86" w:rsidP="000A77F3">
      <w:pPr>
        <w:pStyle w:val="Level1"/>
        <w:spacing w:line="215" w:lineRule="auto"/>
        <w:ind w:left="1440" w:hanging="720"/>
        <w:rPr>
          <w:szCs w:val="24"/>
        </w:rPr>
      </w:pPr>
    </w:p>
    <w:p w:rsidR="00FE7865" w:rsidRDefault="00191E86" w:rsidP="00191E8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91E86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FE7865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191E86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FE7865">
        <w:rPr>
          <w:rFonts w:ascii="Times New Roman" w:eastAsia="Times New Roman" w:hAnsi="Times New Roman" w:cs="Times New Roman"/>
          <w:sz w:val="24"/>
          <w:szCs w:val="24"/>
        </w:rPr>
        <w:t xml:space="preserve"> Klein</w:t>
      </w:r>
      <w:r w:rsidRPr="00191E86">
        <w:rPr>
          <w:rFonts w:ascii="Times New Roman" w:eastAsia="Times New Roman" w:hAnsi="Times New Roman" w:cs="Times New Roman"/>
          <w:sz w:val="24"/>
          <w:szCs w:val="24"/>
        </w:rPr>
        <w:t xml:space="preserve"> to accept a resolu</w:t>
      </w:r>
      <w:r w:rsidR="00FE7865">
        <w:rPr>
          <w:rFonts w:ascii="Times New Roman" w:eastAsia="Times New Roman" w:hAnsi="Times New Roman" w:cs="Times New Roman"/>
          <w:sz w:val="24"/>
          <w:szCs w:val="24"/>
        </w:rPr>
        <w:t>tion to adopt the Garvin County</w:t>
      </w:r>
    </w:p>
    <w:p w:rsidR="00191E86" w:rsidRDefault="00191E86" w:rsidP="00191E8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91E86">
        <w:rPr>
          <w:rFonts w:ascii="Times New Roman" w:eastAsia="Times New Roman" w:hAnsi="Times New Roman" w:cs="Times New Roman"/>
          <w:sz w:val="24"/>
          <w:szCs w:val="24"/>
        </w:rPr>
        <w:t>Hazard</w:t>
      </w:r>
      <w:r w:rsidR="00FE7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E86">
        <w:rPr>
          <w:rFonts w:ascii="Times New Roman" w:eastAsia="Times New Roman" w:hAnsi="Times New Roman" w:cs="Times New Roman"/>
          <w:sz w:val="24"/>
          <w:szCs w:val="24"/>
        </w:rPr>
        <w:t>Mitigation Plan Update 2024-2029 as this jurisdiction’s Hazard Mitigation Plan.</w:t>
      </w:r>
    </w:p>
    <w:p w:rsidR="00FE7865" w:rsidRPr="00191E86" w:rsidRDefault="00FE7865" w:rsidP="00FE786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Williams; yea, Gamble; yea, Sherrill; yea, Klien; yea Townley; yea. Nays: None.</w:t>
      </w:r>
    </w:p>
    <w:p w:rsidR="00FE7865" w:rsidRPr="00191E86" w:rsidRDefault="00FE7865" w:rsidP="00191E8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91E86" w:rsidRDefault="00191E86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91E86">
        <w:rPr>
          <w:rFonts w:ascii="Times New Roman" w:eastAsia="Calibri" w:hAnsi="Times New Roman" w:cs="Times New Roman"/>
          <w:sz w:val="24"/>
          <w:szCs w:val="24"/>
        </w:rPr>
        <w:t>Bond project update and continue di</w:t>
      </w:r>
      <w:r w:rsidR="00FE7865">
        <w:rPr>
          <w:rFonts w:ascii="Times New Roman" w:eastAsia="Calibri" w:hAnsi="Times New Roman" w:cs="Times New Roman"/>
          <w:sz w:val="24"/>
          <w:szCs w:val="24"/>
        </w:rPr>
        <w:t>scussion on a future bond issue:</w:t>
      </w:r>
    </w:p>
    <w:p w:rsidR="00FE7865" w:rsidRDefault="00FE7865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 on the gymnasium will begin on May 14, 2024.</w:t>
      </w:r>
    </w:p>
    <w:p w:rsidR="00FE7865" w:rsidRDefault="00FE7865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 on the bathrooms will begin on May 13, 2024.</w:t>
      </w:r>
    </w:p>
    <w:p w:rsidR="00FE7865" w:rsidRDefault="00FE7865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new desk and chairs will be delivered at both sites on August 5, 2024.</w:t>
      </w:r>
    </w:p>
    <w:p w:rsidR="00FE7865" w:rsidRDefault="00FE7865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E7865" w:rsidRDefault="00FE7865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Discussion on the next bond for possibly a safe room and a 14 passenger van (Non CDL drivers to be able to drive.)</w:t>
      </w:r>
    </w:p>
    <w:p w:rsidR="00FE7865" w:rsidRDefault="00FE7865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B</w:t>
      </w:r>
      <w:r w:rsidR="001A1846">
        <w:rPr>
          <w:rFonts w:ascii="Times New Roman" w:eastAsia="Calibri" w:hAnsi="Times New Roman" w:cs="Times New Roman"/>
          <w:sz w:val="24"/>
          <w:szCs w:val="24"/>
        </w:rPr>
        <w:t>each will send out a survey to the teachers to get some ideas of what they may be interested in.</w:t>
      </w:r>
    </w:p>
    <w:p w:rsidR="00FE7865" w:rsidRDefault="00FE7865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E7865" w:rsidRDefault="00FE7865" w:rsidP="00FE786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by Gamble seconded by Klein to adjourn meeting @ 8:30p.m. Klein; yea,</w:t>
      </w:r>
    </w:p>
    <w:p w:rsidR="00FE7865" w:rsidRPr="00191E86" w:rsidRDefault="00FE7865" w:rsidP="00FE786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Williams; yea, Gamble; yea, Sherrill; yea, Townley; yea. Nays: None.</w:t>
      </w:r>
    </w:p>
    <w:p w:rsidR="00191E86" w:rsidRPr="00191E86" w:rsidRDefault="00191E86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1E86" w:rsidRPr="00191E86" w:rsidRDefault="00191E86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91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91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1E86" w:rsidRPr="00191E86" w:rsidRDefault="00191E86" w:rsidP="00191E8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91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</w:r>
      <w:r w:rsidRPr="00191E86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191E86" w:rsidRPr="00191E86" w:rsidRDefault="00191E86" w:rsidP="00191E8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1E86" w:rsidRPr="00191E86" w:rsidRDefault="00191E86" w:rsidP="000A77F3">
      <w:pPr>
        <w:pStyle w:val="Level1"/>
        <w:spacing w:line="215" w:lineRule="auto"/>
        <w:ind w:left="1440" w:hanging="720"/>
        <w:rPr>
          <w:szCs w:val="24"/>
        </w:rPr>
      </w:pPr>
    </w:p>
    <w:p w:rsidR="000A77F3" w:rsidRPr="00191E86" w:rsidRDefault="000A77F3" w:rsidP="000A77F3">
      <w:pPr>
        <w:pStyle w:val="Level1"/>
        <w:spacing w:line="215" w:lineRule="auto"/>
        <w:ind w:left="1440"/>
        <w:rPr>
          <w:szCs w:val="24"/>
        </w:rPr>
      </w:pPr>
    </w:p>
    <w:p w:rsidR="000A77F3" w:rsidRPr="00191E8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A77F3" w:rsidRPr="00191E8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0A77F3" w:rsidRPr="00191E86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0A77F3" w:rsidRPr="000A77F3" w:rsidRDefault="000A77F3" w:rsidP="000A77F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0A77F3" w:rsidRPr="00191E86" w:rsidRDefault="000A77F3" w:rsidP="00FA6B4F">
      <w:pPr>
        <w:pStyle w:val="NoSpacing"/>
        <w:rPr>
          <w:sz w:val="24"/>
          <w:szCs w:val="24"/>
        </w:rPr>
      </w:pPr>
    </w:p>
    <w:p w:rsidR="000A77F3" w:rsidRPr="00191E86" w:rsidRDefault="000A77F3" w:rsidP="00FA6B4F">
      <w:pPr>
        <w:pStyle w:val="NoSpacing"/>
        <w:rPr>
          <w:sz w:val="24"/>
          <w:szCs w:val="24"/>
        </w:rPr>
      </w:pPr>
    </w:p>
    <w:p w:rsidR="00FA6B4F" w:rsidRPr="00191E86" w:rsidRDefault="00FA6B4F" w:rsidP="00FA6B4F">
      <w:pPr>
        <w:pStyle w:val="NoSpacing"/>
        <w:rPr>
          <w:sz w:val="24"/>
          <w:szCs w:val="24"/>
        </w:rPr>
      </w:pPr>
    </w:p>
    <w:p w:rsidR="00FA6B4F" w:rsidRPr="00191E86" w:rsidRDefault="00FA6B4F" w:rsidP="00FA6B4F">
      <w:pPr>
        <w:pStyle w:val="NoSpacing"/>
        <w:rPr>
          <w:sz w:val="24"/>
          <w:szCs w:val="24"/>
        </w:rPr>
      </w:pPr>
    </w:p>
    <w:p w:rsidR="00FA6B4F" w:rsidRDefault="00FA6B4F" w:rsidP="00FA6B4F">
      <w:pPr>
        <w:pStyle w:val="NoSpacing"/>
      </w:pPr>
    </w:p>
    <w:p w:rsidR="00FA6B4F" w:rsidRDefault="00FA6B4F" w:rsidP="00FA6B4F">
      <w:pPr>
        <w:pStyle w:val="NoSpacing"/>
      </w:pPr>
    </w:p>
    <w:p w:rsidR="00FA6B4F" w:rsidRPr="00FA6B4F" w:rsidRDefault="00FA6B4F" w:rsidP="00FA6B4F">
      <w:pPr>
        <w:pStyle w:val="NoSpacing"/>
      </w:pPr>
      <w:r>
        <w:t xml:space="preserve"> </w:t>
      </w:r>
    </w:p>
    <w:p w:rsidR="00B877D7" w:rsidRDefault="00B877D7" w:rsidP="00EE184C">
      <w:pPr>
        <w:rPr>
          <w:sz w:val="24"/>
          <w:szCs w:val="24"/>
        </w:rPr>
      </w:pPr>
    </w:p>
    <w:p w:rsidR="00030E0D" w:rsidRDefault="00030E0D"/>
    <w:sectPr w:rsidR="00030E0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1B" w:rsidRDefault="00FB371B">
      <w:pPr>
        <w:spacing w:after="0" w:line="240" w:lineRule="auto"/>
      </w:pPr>
      <w:r>
        <w:separator/>
      </w:r>
    </w:p>
  </w:endnote>
  <w:endnote w:type="continuationSeparator" w:id="0">
    <w:p w:rsidR="00FB371B" w:rsidRDefault="00FB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D" w:rsidRDefault="00191E86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of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NUMPAGES \* ARABIC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A77B1D" w:rsidRDefault="00FB371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D" w:rsidRDefault="00191E86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4829C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of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NUMPAGES \* ARABIC </w:instrText>
    </w:r>
    <w:r>
      <w:rPr>
        <w:sz w:val="24"/>
        <w:szCs w:val="24"/>
      </w:rPr>
      <w:fldChar w:fldCharType="separate"/>
    </w:r>
    <w:r w:rsidR="004829CE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A77B1D" w:rsidRDefault="00FB371B">
    <w:pPr>
      <w:rPr>
        <w:sz w:val="24"/>
        <w:szCs w:val="24"/>
      </w:rPr>
    </w:pPr>
  </w:p>
  <w:p w:rsidR="00A77B1D" w:rsidRDefault="00FB37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1B" w:rsidRDefault="00FB371B">
      <w:pPr>
        <w:spacing w:after="0" w:line="240" w:lineRule="auto"/>
      </w:pPr>
      <w:r>
        <w:separator/>
      </w:r>
    </w:p>
  </w:footnote>
  <w:footnote w:type="continuationSeparator" w:id="0">
    <w:p w:rsidR="00FB371B" w:rsidRDefault="00FB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D" w:rsidRDefault="00FB371B">
    <w:pPr>
      <w:rPr>
        <w:sz w:val="24"/>
        <w:szCs w:val="24"/>
      </w:rPr>
    </w:pPr>
  </w:p>
  <w:p w:rsidR="00A77B1D" w:rsidRDefault="00FB371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D" w:rsidRDefault="00FB371B">
    <w:pPr>
      <w:rPr>
        <w:sz w:val="24"/>
        <w:szCs w:val="24"/>
      </w:rPr>
    </w:pPr>
  </w:p>
  <w:p w:rsidR="00A77B1D" w:rsidRDefault="00FB37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4C"/>
    <w:rsid w:val="00030E0D"/>
    <w:rsid w:val="000A77F3"/>
    <w:rsid w:val="00191E86"/>
    <w:rsid w:val="001A1846"/>
    <w:rsid w:val="00267162"/>
    <w:rsid w:val="004829CE"/>
    <w:rsid w:val="007E2559"/>
    <w:rsid w:val="007E72CF"/>
    <w:rsid w:val="008924DC"/>
    <w:rsid w:val="008C3696"/>
    <w:rsid w:val="00B877D7"/>
    <w:rsid w:val="00EE184C"/>
    <w:rsid w:val="00FA6B4F"/>
    <w:rsid w:val="00FB371B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00CC"/>
  <w15:chartTrackingRefBased/>
  <w15:docId w15:val="{13BF6BF7-C28D-4B02-92FF-59ABC0FD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4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84C"/>
    <w:pPr>
      <w:spacing w:after="0" w:line="240" w:lineRule="auto"/>
    </w:pPr>
  </w:style>
  <w:style w:type="paragraph" w:customStyle="1" w:styleId="levnl11">
    <w:name w:val="_levnl11"/>
    <w:uiPriority w:val="99"/>
    <w:rsid w:val="00FA6B4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0A77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2024-04-09T19:52:00Z</dcterms:created>
  <dcterms:modified xsi:type="dcterms:W3CDTF">2024-04-09T19:52:00Z</dcterms:modified>
</cp:coreProperties>
</file>